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1"/>
        <w:rPr>
          <w:rFonts w:eastAsia="Times New Roman" w:cs="Calibri" w:cstheme="minorHAnsi"/>
          <w:b/>
          <w:b/>
          <w:bCs/>
          <w:sz w:val="36"/>
          <w:szCs w:val="36"/>
          <w:lang w:eastAsia="pl-PL"/>
        </w:rPr>
      </w:pPr>
      <w:r>
        <w:rPr>
          <w:rFonts w:eastAsia="Times New Roman" w:cs="Calibri" w:cstheme="minorHAnsi"/>
          <w:b/>
          <w:bCs/>
          <w:sz w:val="36"/>
          <w:szCs w:val="36"/>
          <w:lang w:eastAsia="pl-PL"/>
        </w:rPr>
        <w:t>ARiMR: Ruszył nabór wniosków o dotację na nawadnianie gospodarstwa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Rolnicy, którzy chcą zabezpieczyć swoje uprawy przed skutkami suszy, mogą ubiegać się w Agencji Restrukturyzacji i Modernizacji Rolnictwa o dotację na inwestycje w nawadnianie gospodarstwa. 21 lutego ruszył nabór wniosków, który potrwa do 20 kwietnia 202</w:t>
      </w:r>
      <w:bookmarkStart w:id="0" w:name="_GoBack"/>
      <w:bookmarkEnd w:id="0"/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 xml:space="preserve">0 r. 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O pomoc, która realizowana jest w ramach działania „Modernizacja gospodarstw rolnych” z PROW 2014-2020,  może wystąpić rolnik posiadający gospodarstwo o powierzchni co najmniej 1 ha i nie większe niż 300 ha. Wnioskodawca powinien zarabiać na produkcji zwierzęcej lub roślinnej, o czym ma świadczyć wykazany  przychód w wysokości co najmniej 5 tys. zł, odnotowany w okresie 12 miesięcy poprzedzających miesiąc złożenia wniosku. Konieczna jest także obecność w krajowym systemie ewidencji producentów, ewidencji gospodarstw rolnych oraz ewidencji wniosków o przyznanie płatności. Co istotne, przyznanie pomocy w tym obszarze wsparcia nie jest uzależnione od wielkości ekonomicznej gospodarstwa i nie trzeba wykazywać wzrostu wartości dodanej brutto (GVA).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Wsparciem z ARiMR mogą zostać objęte trzy kategorie inwestycji: ulepszające już istniejące instalacje nawadniające; powiększające obszar nawadniania; jednocześnie powiększające obszar nawadniania oraz ulepszające już istniejące instalacje.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Ubiegając się o dotację na nawadnianie należy: w przypadku ulepszenia istniejących instalacji – doprowadzić do oszczędności wody na poziomie co najmniej 10 proc.; w przypadku powiększenia obszaru nawadniania – wykazać brak znaczącego negatywnego oddziaływania inwestycji na środowisko; w przypadku inwestycji wpływających na jednolite części wód powierzchniowych lub podziemnych, których stan ze względu na ilość wody został w planie gospodarowania wodami w dorzeczu określony jako mniej niż dobry – wykazać ponadto  faktyczną (efektywną) oszczędność wody. Stąd też każda z inwestycji w nawadnianie musi mieć zainstalowane urządzenie do pomiaru zużycia wody.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Pomoc finansowa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na jednego beneficjenta i jedno gospodarstwo </w:t>
      </w: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 xml:space="preserve">wynosi maksymalnie 100 tys. zł, </w:t>
      </w:r>
      <w:r>
        <w:rPr>
          <w:rFonts w:eastAsia="Times New Roman" w:cs="Calibri" w:cstheme="minorHAnsi"/>
          <w:sz w:val="24"/>
          <w:szCs w:val="24"/>
          <w:lang w:eastAsia="pl-PL"/>
        </w:rPr>
        <w:t>przy czym</w:t>
      </w: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 xml:space="preserve"> refundacji podlega 50 proc. kosztów poniesionych na realizację inwestycji (60 proc. w przypadku młodego rolnika)</w:t>
      </w:r>
      <w:r>
        <w:rPr>
          <w:rFonts w:eastAsia="Times New Roman" w:cs="Calibri" w:cstheme="minorHAnsi"/>
          <w:sz w:val="24"/>
          <w:szCs w:val="24"/>
          <w:lang w:eastAsia="pl-PL"/>
        </w:rPr>
        <w:t>. Minimalny poziom kosztów inwestycji musi być wyższy niż 15 tys. zł. Planowane operacje mogą być realizowane tylko jednoetapowo. Zakończenie realizacji operacji i  złożenie wniosku o płatność powinno nastąpić przed upływem 24 miesięcy od dnia zawarcia umowy o przyznaniu pomocy, lecz nie później niż do 30 czerwca 2023 r.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Realizację operacji oraz ponoszenie kosztów kwalifikowalnych można rozpocząć </w:t>
      </w: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„na własne ryzyko"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od dnia złożenia wniosku o przyznanie pomocy.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Rolnicy mogą sfinansować z tego programu m.in. budowę studni i zbiorników; zakup maszyn i urządzeń do poboru, magazynowania, uzdatniania, odzyskiwania lub rozprowadzania wody, instalacji nawadniających i systemów do sterowania nawadnianiem.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Wnioski przyjmują oddziały regionalne ARiMR, można je także składać za pośrednictwem biur powiatowych.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2">
    <w:name w:val="Nagłówek 2"/>
    <w:basedOn w:val="Normal"/>
    <w:link w:val="Nagwek2Znak"/>
    <w:uiPriority w:val="9"/>
    <w:qFormat/>
    <w:rsid w:val="00ab2cc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ab2ccc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ewssingleimgcaption" w:customStyle="1">
    <w:name w:val="news-single-imgcaption"/>
    <w:basedOn w:val="Normal"/>
    <w:qFormat/>
    <w:rsid w:val="00ab2c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unhideWhenUsed/>
    <w:qFormat/>
    <w:rsid w:val="00ab2c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LibreOffice/5.1.1.3$Windows_x86 LibreOffice_project/89f508ef3ecebd2cfb8e1def0f0ba9a803b88a6d</Application>
  <Pages>1</Pages>
  <Words>429</Words>
  <CharactersWithSpaces>2576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2020-02-26T08:08:00Z</dcterms:created>
  <dc:creator>Daniluk-Jankowska Alicja</dc:creator>
  <dc:description/>
  <dc:language>pl-PL</dc:language>
  <cp:lastModifiedBy>Kapica Katarzyna</cp:lastModifiedBy>
  <dcterms:modified xsi:type="dcterms:W3CDTF">2020-02-26T08:34:00Z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